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2"/>
        <w:rPr>
          <w:rFonts w:ascii="楷体" w:hAnsi="楷体" w:eastAsia="楷体" w:cs="宋体"/>
          <w:b/>
          <w:bCs/>
          <w:color w:val="333333"/>
          <w:kern w:val="0"/>
          <w:sz w:val="32"/>
          <w:szCs w:val="32"/>
        </w:rPr>
      </w:pPr>
      <w:r>
        <w:rPr>
          <w:rFonts w:hint="eastAsia" w:ascii="楷体" w:hAnsi="楷体" w:eastAsia="楷体" w:cs="宋体"/>
          <w:b/>
          <w:bCs/>
          <w:color w:val="333333"/>
          <w:kern w:val="0"/>
          <w:sz w:val="32"/>
          <w:szCs w:val="32"/>
        </w:rPr>
        <w:t>关于拟推荐</w:t>
      </w:r>
      <w:bookmarkStart w:id="0" w:name="_Hlk115346194"/>
      <w:r>
        <w:rPr>
          <w:rFonts w:hint="eastAsia" w:ascii="楷体" w:hAnsi="楷体" w:eastAsia="楷体" w:cs="宋体"/>
          <w:b/>
          <w:bCs/>
          <w:color w:val="333333"/>
          <w:kern w:val="0"/>
          <w:sz w:val="32"/>
          <w:szCs w:val="32"/>
        </w:rPr>
        <w:t>中国交通教育研究会2</w:t>
      </w:r>
      <w:r>
        <w:rPr>
          <w:rFonts w:ascii="楷体" w:hAnsi="楷体" w:eastAsia="楷体" w:cs="宋体"/>
          <w:b/>
          <w:bCs/>
          <w:color w:val="333333"/>
          <w:kern w:val="0"/>
          <w:sz w:val="32"/>
          <w:szCs w:val="32"/>
        </w:rPr>
        <w:t>022-2024</w:t>
      </w:r>
      <w:r>
        <w:rPr>
          <w:rFonts w:hint="eastAsia" w:ascii="楷体" w:hAnsi="楷体" w:eastAsia="楷体" w:cs="宋体"/>
          <w:b/>
          <w:bCs/>
          <w:color w:val="333333"/>
          <w:kern w:val="0"/>
          <w:sz w:val="32"/>
          <w:szCs w:val="32"/>
        </w:rPr>
        <w:t>年度</w:t>
      </w:r>
    </w:p>
    <w:p>
      <w:pPr>
        <w:widowControl/>
        <w:spacing w:line="450" w:lineRule="atLeast"/>
        <w:jc w:val="center"/>
        <w:outlineLvl w:val="2"/>
        <w:rPr>
          <w:rFonts w:ascii="楷体" w:hAnsi="楷体" w:eastAsia="楷体" w:cs="宋体"/>
          <w:b/>
          <w:bCs/>
          <w:color w:val="333333"/>
          <w:kern w:val="0"/>
          <w:sz w:val="32"/>
          <w:szCs w:val="32"/>
        </w:rPr>
      </w:pPr>
      <w:r>
        <w:rPr>
          <w:rFonts w:hint="eastAsia" w:ascii="楷体" w:hAnsi="楷体" w:eastAsia="楷体" w:cs="宋体"/>
          <w:b/>
          <w:bCs/>
          <w:color w:val="333333"/>
          <w:kern w:val="0"/>
          <w:sz w:val="32"/>
          <w:szCs w:val="32"/>
        </w:rPr>
        <w:t>教育科学研究课题</w:t>
      </w:r>
      <w:bookmarkEnd w:id="0"/>
      <w:r>
        <w:rPr>
          <w:rFonts w:hint="eastAsia" w:ascii="楷体" w:hAnsi="楷体" w:eastAsia="楷体" w:cs="宋体"/>
          <w:b/>
          <w:bCs/>
          <w:color w:val="333333"/>
          <w:kern w:val="0"/>
          <w:sz w:val="32"/>
          <w:szCs w:val="32"/>
        </w:rPr>
        <w:t>的公示</w:t>
      </w:r>
    </w:p>
    <w:p>
      <w:pPr>
        <w:pStyle w:val="5"/>
        <w:spacing w:before="0" w:beforeAutospacing="0" w:after="0" w:afterAutospacing="0"/>
        <w:jc w:val="both"/>
        <w:rPr>
          <w:rFonts w:ascii="仿宋" w:hAnsi="仿宋" w:eastAsia="仿宋"/>
          <w:color w:val="333333"/>
          <w:sz w:val="28"/>
          <w:szCs w:val="28"/>
        </w:rPr>
      </w:pPr>
    </w:p>
    <w:p>
      <w:pPr>
        <w:pStyle w:val="5"/>
        <w:spacing w:before="0" w:beforeAutospacing="0" w:after="0" w:afterAutospacing="0"/>
        <w:jc w:val="lef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各单位、各部门：</w:t>
      </w:r>
    </w:p>
    <w:p>
      <w:pPr>
        <w:pStyle w:val="5"/>
        <w:spacing w:before="0" w:beforeAutospacing="0" w:after="0" w:afterAutospacing="0"/>
        <w:ind w:firstLine="560" w:firstLineChars="200"/>
        <w:jc w:val="lef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根据中国交通教育研究会</w:t>
      </w:r>
      <w:bookmarkStart w:id="1" w:name="_Hlk112324412"/>
      <w:r>
        <w:rPr>
          <w:rFonts w:hint="eastAsia" w:ascii="仿宋_GB2312" w:hAnsi="仿宋_GB2312" w:eastAsia="仿宋_GB2312" w:cs="仿宋_GB2312"/>
          <w:color w:val="333333"/>
          <w:sz w:val="28"/>
          <w:szCs w:val="28"/>
        </w:rPr>
        <w:t>《关于组织申报2022-2024年度教育科学研究课题的通知》</w:t>
      </w:r>
      <w:bookmarkEnd w:id="1"/>
      <w:r>
        <w:rPr>
          <w:rFonts w:hint="eastAsia" w:ascii="仿宋_GB2312" w:hAnsi="仿宋_GB2312" w:eastAsia="仿宋_GB2312" w:cs="仿宋_GB2312"/>
          <w:color w:val="333333"/>
          <w:sz w:val="28"/>
          <w:szCs w:val="28"/>
        </w:rPr>
        <w:t>（交教研字【2022】27号）精神，经教师个人申报，学校高职教育研究室组织校外专家评审，现对学校拟推荐的36项课题（其中重点课题6项）进行公示。具体详见附件。</w:t>
      </w:r>
    </w:p>
    <w:p>
      <w:pPr>
        <w:pStyle w:val="5"/>
        <w:spacing w:before="0" w:beforeAutospacing="0" w:after="0" w:afterAutospacing="0"/>
        <w:ind w:firstLine="560" w:firstLineChars="200"/>
        <w:jc w:val="lef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公示期为2022年10月8日——10月10日。如有异议，请各教职工在公示期间实名向校纪委办（2096029）反映。</w:t>
      </w:r>
    </w:p>
    <w:p>
      <w:pPr>
        <w:pStyle w:val="5"/>
        <w:jc w:val="left"/>
        <w:rPr>
          <w:rFonts w:hint="eastAsia" w:ascii="仿宋_GB2312" w:hAnsi="仿宋_GB2312" w:eastAsia="仿宋_GB2312" w:cs="仿宋_GB2312"/>
          <w:color w:val="333333"/>
          <w:sz w:val="28"/>
          <w:szCs w:val="28"/>
        </w:rPr>
      </w:pPr>
    </w:p>
    <w:p>
      <w:pPr>
        <w:pStyle w:val="5"/>
        <w:jc w:val="lef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附件：</w:t>
      </w:r>
    </w:p>
    <w:p>
      <w:pPr>
        <w:pStyle w:val="5"/>
        <w:ind w:firstLine="560" w:firstLineChars="200"/>
        <w:jc w:val="lef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《学校拟</w:t>
      </w:r>
      <w:bookmarkStart w:id="2" w:name="_Hlk101942088"/>
      <w:r>
        <w:rPr>
          <w:rFonts w:hint="eastAsia" w:ascii="仿宋_GB2312" w:hAnsi="仿宋_GB2312" w:eastAsia="仿宋_GB2312" w:cs="仿宋_GB2312"/>
          <w:color w:val="333333"/>
          <w:sz w:val="28"/>
          <w:szCs w:val="28"/>
        </w:rPr>
        <w:t>推荐的</w:t>
      </w:r>
      <w:bookmarkEnd w:id="2"/>
      <w:r>
        <w:rPr>
          <w:rFonts w:hint="eastAsia" w:ascii="仿宋_GB2312" w:hAnsi="仿宋_GB2312" w:eastAsia="仿宋_GB2312" w:cs="仿宋_GB2312"/>
          <w:color w:val="333333"/>
          <w:sz w:val="28"/>
          <w:szCs w:val="28"/>
        </w:rPr>
        <w:t>中国交通教育研究会2022-2024年度教育科学研究课题汇总表》</w:t>
      </w:r>
    </w:p>
    <w:p>
      <w:pPr>
        <w:pStyle w:val="5"/>
        <w:spacing w:before="0" w:beforeAutospacing="0" w:after="0" w:afterAutospacing="0"/>
        <w:ind w:firstLine="555"/>
        <w:jc w:val="both"/>
        <w:rPr>
          <w:rFonts w:ascii="仿宋" w:hAnsi="仿宋" w:eastAsia="仿宋"/>
          <w:color w:val="333333"/>
          <w:sz w:val="28"/>
          <w:szCs w:val="28"/>
        </w:rPr>
      </w:pPr>
      <w:r>
        <w:rPr>
          <w:rFonts w:hint="eastAsia" w:ascii="仿宋" w:hAnsi="仿宋" w:eastAsia="仿宋"/>
          <w:color w:val="333333"/>
          <w:sz w:val="28"/>
          <w:szCs w:val="28"/>
        </w:rPr>
        <w:t xml:space="preserve">                                    </w:t>
      </w:r>
    </w:p>
    <w:p>
      <w:pPr>
        <w:pStyle w:val="5"/>
        <w:adjustRightInd w:val="0"/>
        <w:snapToGrid w:val="0"/>
        <w:spacing w:before="0" w:beforeAutospacing="0" w:after="0" w:afterAutospacing="0" w:line="400" w:lineRule="exact"/>
        <w:ind w:firstLine="5600" w:firstLineChars="2000"/>
        <w:jc w:val="right"/>
        <w:rPr>
          <w:rFonts w:ascii="仿宋" w:hAnsi="仿宋" w:eastAsia="仿宋"/>
          <w:color w:val="333333"/>
          <w:sz w:val="28"/>
          <w:szCs w:val="28"/>
        </w:rPr>
      </w:pPr>
      <w:r>
        <w:rPr>
          <w:rFonts w:hint="eastAsia" w:ascii="仿宋" w:hAnsi="仿宋" w:eastAsia="仿宋"/>
          <w:color w:val="333333"/>
          <w:sz w:val="28"/>
          <w:szCs w:val="28"/>
        </w:rPr>
        <w:t xml:space="preserve"> 高职教育研究室</w:t>
      </w:r>
    </w:p>
    <w:p>
      <w:pPr>
        <w:pStyle w:val="5"/>
        <w:adjustRightInd w:val="0"/>
        <w:snapToGrid w:val="0"/>
        <w:spacing w:before="0" w:beforeAutospacing="0" w:after="0" w:afterAutospacing="0" w:line="400" w:lineRule="exact"/>
        <w:ind w:firstLine="555"/>
        <w:jc w:val="right"/>
        <w:rPr>
          <w:rFonts w:ascii="仿宋" w:hAnsi="仿宋" w:eastAsia="仿宋"/>
          <w:color w:val="333333"/>
          <w:sz w:val="28"/>
          <w:szCs w:val="28"/>
        </w:rPr>
      </w:pPr>
      <w:r>
        <w:rPr>
          <w:rFonts w:hint="eastAsia" w:ascii="仿宋" w:hAnsi="仿宋" w:eastAsia="仿宋"/>
          <w:color w:val="333333"/>
          <w:sz w:val="28"/>
          <w:szCs w:val="28"/>
        </w:rPr>
        <w:t xml:space="preserve">                                     </w:t>
      </w:r>
      <w:r>
        <w:rPr>
          <w:rFonts w:ascii="仿宋" w:hAnsi="仿宋" w:eastAsia="仿宋"/>
          <w:color w:val="333333"/>
          <w:sz w:val="28"/>
          <w:szCs w:val="28"/>
        </w:rPr>
        <w:t>2022年9月30日</w:t>
      </w:r>
    </w:p>
    <w:p>
      <w:pPr>
        <w:pStyle w:val="5"/>
        <w:spacing w:before="0" w:beforeAutospacing="0" w:after="0" w:afterAutospacing="0"/>
        <w:ind w:firstLine="555"/>
        <w:jc w:val="both"/>
        <w:rPr>
          <w:rFonts w:ascii="仿宋" w:hAnsi="仿宋" w:eastAsia="仿宋"/>
          <w:color w:val="333333"/>
          <w:sz w:val="28"/>
          <w:szCs w:val="28"/>
        </w:rPr>
      </w:pPr>
    </w:p>
    <w:p>
      <w:pPr>
        <w:pStyle w:val="5"/>
        <w:spacing w:before="0" w:beforeAutospacing="0" w:after="0" w:afterAutospacing="0"/>
        <w:ind w:firstLine="555"/>
        <w:jc w:val="both"/>
        <w:rPr>
          <w:rFonts w:ascii="仿宋" w:hAnsi="仿宋" w:eastAsia="仿宋"/>
          <w:color w:val="333333"/>
          <w:sz w:val="28"/>
          <w:szCs w:val="28"/>
        </w:rPr>
      </w:pPr>
    </w:p>
    <w:p>
      <w:pPr>
        <w:pStyle w:val="5"/>
        <w:spacing w:before="0" w:beforeAutospacing="0" w:after="0" w:afterAutospacing="0"/>
        <w:ind w:firstLine="555"/>
        <w:jc w:val="both"/>
        <w:rPr>
          <w:rFonts w:ascii="仿宋" w:hAnsi="仿宋" w:eastAsia="仿宋"/>
          <w:color w:val="333333"/>
          <w:sz w:val="28"/>
          <w:szCs w:val="28"/>
        </w:rPr>
      </w:pPr>
    </w:p>
    <w:p>
      <w:pPr>
        <w:pStyle w:val="5"/>
        <w:spacing w:before="0" w:beforeAutospacing="0" w:after="0" w:afterAutospacing="0"/>
        <w:ind w:firstLine="555"/>
        <w:jc w:val="both"/>
        <w:rPr>
          <w:rFonts w:ascii="仿宋" w:hAnsi="仿宋" w:eastAsia="仿宋"/>
          <w:color w:val="333333"/>
          <w:sz w:val="28"/>
          <w:szCs w:val="28"/>
        </w:rPr>
      </w:pPr>
      <w:bookmarkStart w:id="3" w:name="_GoBack"/>
      <w:bookmarkEnd w:id="3"/>
    </w:p>
    <w:p>
      <w:pPr>
        <w:pStyle w:val="5"/>
        <w:spacing w:before="0" w:beforeAutospacing="0" w:after="0" w:afterAutospacing="0"/>
        <w:jc w:val="both"/>
        <w:rPr>
          <w:rFonts w:ascii="仿宋" w:hAnsi="仿宋" w:eastAsia="仿宋"/>
          <w:color w:val="333333"/>
          <w:sz w:val="28"/>
          <w:szCs w:val="28"/>
        </w:rPr>
      </w:pPr>
      <w:r>
        <w:rPr>
          <w:rFonts w:hint="eastAsia" w:ascii="仿宋" w:hAnsi="仿宋" w:eastAsia="仿宋"/>
          <w:color w:val="333333"/>
          <w:sz w:val="28"/>
          <w:szCs w:val="28"/>
        </w:rPr>
        <w:t>附件：</w:t>
      </w:r>
    </w:p>
    <w:p>
      <w:pPr>
        <w:pStyle w:val="5"/>
        <w:adjustRightInd w:val="0"/>
        <w:snapToGrid w:val="0"/>
        <w:spacing w:before="0" w:beforeAutospacing="0" w:after="0" w:afterAutospacing="0" w:line="360" w:lineRule="exact"/>
        <w:jc w:val="center"/>
        <w:rPr>
          <w:rFonts w:ascii="仿宋" w:hAnsi="仿宋" w:eastAsia="仿宋"/>
          <w:b/>
          <w:bCs/>
          <w:color w:val="333333"/>
          <w:sz w:val="32"/>
          <w:szCs w:val="32"/>
        </w:rPr>
      </w:pPr>
      <w:r>
        <w:rPr>
          <w:rFonts w:hint="eastAsia" w:ascii="仿宋" w:hAnsi="仿宋" w:eastAsia="仿宋"/>
          <w:b/>
          <w:bCs/>
          <w:color w:val="333333"/>
          <w:sz w:val="32"/>
          <w:szCs w:val="32"/>
        </w:rPr>
        <w:t>学校拟推荐的中国交通教育研究会2022-2024年度</w:t>
      </w:r>
    </w:p>
    <w:p>
      <w:pPr>
        <w:pStyle w:val="5"/>
        <w:adjustRightInd w:val="0"/>
        <w:snapToGrid w:val="0"/>
        <w:spacing w:before="0" w:beforeAutospacing="0" w:after="0" w:afterAutospacing="0" w:line="360" w:lineRule="exact"/>
        <w:jc w:val="center"/>
        <w:rPr>
          <w:rFonts w:ascii="仿宋" w:hAnsi="仿宋" w:eastAsia="仿宋"/>
          <w:b/>
          <w:bCs/>
          <w:color w:val="333333"/>
          <w:sz w:val="32"/>
          <w:szCs w:val="32"/>
        </w:rPr>
      </w:pPr>
      <w:r>
        <w:rPr>
          <w:rFonts w:hint="eastAsia" w:ascii="仿宋" w:hAnsi="仿宋" w:eastAsia="仿宋"/>
          <w:b/>
          <w:bCs/>
          <w:color w:val="333333"/>
          <w:sz w:val="32"/>
          <w:szCs w:val="32"/>
        </w:rPr>
        <w:t>教育科学研究课题汇总表</w:t>
      </w:r>
    </w:p>
    <w:p>
      <w:pPr>
        <w:pStyle w:val="5"/>
        <w:adjustRightInd w:val="0"/>
        <w:snapToGrid w:val="0"/>
        <w:spacing w:before="0" w:beforeAutospacing="0" w:after="0" w:afterAutospacing="0" w:line="360" w:lineRule="exact"/>
        <w:jc w:val="center"/>
        <w:rPr>
          <w:rFonts w:ascii="仿宋" w:hAnsi="仿宋" w:eastAsia="仿宋"/>
          <w:b/>
          <w:bCs/>
          <w:color w:val="333333"/>
          <w:sz w:val="28"/>
          <w:szCs w:val="28"/>
        </w:rPr>
      </w:pPr>
      <w:r>
        <w:rPr>
          <w:rFonts w:hint="eastAsia" w:ascii="仿宋" w:hAnsi="仿宋" w:eastAsia="仿宋"/>
          <w:b/>
          <w:bCs/>
          <w:color w:val="333333"/>
          <w:sz w:val="28"/>
          <w:szCs w:val="28"/>
        </w:rPr>
        <w:t>（</w:t>
      </w:r>
      <w:r>
        <w:rPr>
          <w:rFonts w:hint="eastAsia" w:ascii="仿宋" w:hAnsi="仿宋" w:eastAsia="仿宋"/>
          <w:color w:val="333333"/>
          <w:sz w:val="28"/>
          <w:szCs w:val="28"/>
        </w:rPr>
        <w:t>同类课题按负责人姓氏笔画排名</w:t>
      </w:r>
      <w:r>
        <w:rPr>
          <w:rFonts w:hint="eastAsia" w:ascii="仿宋" w:hAnsi="仿宋" w:eastAsia="仿宋"/>
          <w:b/>
          <w:bCs/>
          <w:color w:val="333333"/>
          <w:sz w:val="28"/>
          <w:szCs w:val="28"/>
        </w:rPr>
        <w:t>）</w:t>
      </w:r>
    </w:p>
    <w:tbl>
      <w:tblPr>
        <w:tblStyle w:val="6"/>
        <w:tblW w:w="9209" w:type="dxa"/>
        <w:jc w:val="center"/>
        <w:tblLayout w:type="autofit"/>
        <w:tblCellMar>
          <w:top w:w="0" w:type="dxa"/>
          <w:left w:w="108" w:type="dxa"/>
          <w:bottom w:w="0" w:type="dxa"/>
          <w:right w:w="108" w:type="dxa"/>
        </w:tblCellMar>
      </w:tblPr>
      <w:tblGrid>
        <w:gridCol w:w="820"/>
        <w:gridCol w:w="5696"/>
        <w:gridCol w:w="1276"/>
        <w:gridCol w:w="1417"/>
      </w:tblGrid>
      <w:tr>
        <w:tblPrEx>
          <w:tblCellMar>
            <w:top w:w="0" w:type="dxa"/>
            <w:left w:w="108" w:type="dxa"/>
            <w:bottom w:w="0" w:type="dxa"/>
            <w:right w:w="108" w:type="dxa"/>
          </w:tblCellMar>
        </w:tblPrEx>
        <w:trPr>
          <w:trHeight w:val="411"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序号</w:t>
            </w:r>
          </w:p>
        </w:tc>
        <w:tc>
          <w:tcPr>
            <w:tcW w:w="5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项目名称</w:t>
            </w:r>
          </w:p>
        </w:tc>
        <w:tc>
          <w:tcPr>
            <w:tcW w:w="1276"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课题类别</w:t>
            </w:r>
          </w:p>
        </w:tc>
        <w:tc>
          <w:tcPr>
            <w:tcW w:w="1417" w:type="dxa"/>
            <w:tcBorders>
              <w:top w:val="single" w:color="auto" w:sz="4" w:space="0"/>
              <w:left w:val="single" w:color="auto" w:sz="4" w:space="0"/>
              <w:bottom w:val="single" w:color="auto" w:sz="8" w:space="0"/>
              <w:right w:val="single" w:color="auto" w:sz="8" w:space="0"/>
            </w:tcBorders>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项目负责人</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ascii="仿宋" w:hAnsi="仿宋" w:eastAsia="仿宋" w:cs="Times New Roman"/>
                <w:color w:val="000000"/>
                <w:kern w:val="0"/>
                <w:sz w:val="24"/>
                <w:szCs w:val="24"/>
              </w:rPr>
              <w:t>1</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 xml:space="preserve">海洋强国战略背景下海洋文化教育融入涉海类专业人才培养的创新路径研究  </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重点课题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叶盛</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ascii="仿宋" w:hAnsi="仿宋" w:eastAsia="仿宋" w:cs="Times New Roman"/>
                <w:color w:val="000000"/>
                <w:kern w:val="0"/>
                <w:sz w:val="24"/>
                <w:szCs w:val="24"/>
              </w:rPr>
              <w:t>2</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新职教法背景下航海职业教育深化产教融合校企合作路径研究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叶明君</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产教融合视域下交通类专业中高职一体化长学制培养模式的探索——以港口机械与智能控制专业为例</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何琪</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航海专业职业教育虚拟仿真实训基地建设路径与成效研究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重点课题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郝永志</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新形势下航海类高职院校实用英语课程标准研制与实施研究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重点课题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高芳</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“一带一路”倡议下高职航海院校国际化办学的研究与实践</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重点课题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颜天明</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“双高”背景下交通类职业院校专业群资源共建共享路径研究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马露瑶</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 xml:space="preserve">“大科普”视域下航海科普共同体构建研究 </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王雪峰</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海洋文化融入高职“课程思政”育人路径研究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王静飞</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0</w:t>
            </w:r>
          </w:p>
        </w:tc>
        <w:tc>
          <w:tcPr>
            <w:tcW w:w="569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基于OBE-CIPP混合模型的航海类专业课程思政评价体系研究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single" w:color="auto" w:sz="4" w:space="0"/>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付军</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1</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 xml:space="preserve">产教融合、任务导向的国际物流与货运代理实训项目开发与实践 </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朱惠君</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ascii="仿宋" w:hAnsi="仿宋" w:eastAsia="仿宋" w:cs="Times New Roman"/>
                <w:color w:val="000000"/>
                <w:kern w:val="0"/>
                <w:sz w:val="24"/>
                <w:szCs w:val="24"/>
              </w:rPr>
              <w:t>12</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“教育数字化战略行动”下职业教育数字化课程建设与教学实施研究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李子强</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3</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低碳视角下交通运输业绿色发展路径研究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李倩</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4</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课程思政在机械基础类专业基础课程中的融合研究与实践</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李献丽</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5</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基于“互联网+教育”的混合式教学模式应用研究--以电机与电力拖动课程为例</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刘红晶</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6</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思政课教师全过程参与航海专业技术人才培养策略研究---基于“大思政课”的视角</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刘笑菊</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7</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教育元宇宙场域下航海现代学徒制教学生态构建研究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汪舟娜</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8</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新《职业教育法》实施背景下航海类专业学生职业素养提升路径研究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芮明珠</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r>
              <w:rPr>
                <w:rFonts w:ascii="仿宋" w:hAnsi="仿宋" w:eastAsia="仿宋" w:cs="Times New Roman"/>
                <w:color w:val="000000"/>
                <w:kern w:val="0"/>
                <w:sz w:val="24"/>
                <w:szCs w:val="24"/>
              </w:rPr>
              <w:t>9</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 xml:space="preserve">船舶永磁同步推进电机全速度范围无位置传感器鲁棒控制研究  </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陈再发</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0</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“物流业+制造业”复合型人才的培养路径探究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陈艳玲</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1</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近二十年世界航海教育研究现状、热点及趋势研究-基于知识图谱的分析</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陈颖燕</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2</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“双高”背景下航海类院校外语课程思政融入模式实证研究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邵瑶</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3</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olor w:val="000000"/>
                <w:sz w:val="24"/>
                <w:szCs w:val="24"/>
              </w:rPr>
            </w:pPr>
            <w:r>
              <w:rPr>
                <w:rFonts w:hint="eastAsia" w:ascii="仿宋" w:hAnsi="仿宋" w:eastAsia="仿宋"/>
                <w:color w:val="000000"/>
                <w:sz w:val="24"/>
                <w:szCs w:val="24"/>
              </w:rPr>
              <w:t>新职教法背景下，高职院校职业培训质量提升路径研究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olor w:val="000000"/>
                <w:sz w:val="24"/>
                <w:szCs w:val="24"/>
              </w:rPr>
            </w:pPr>
            <w:r>
              <w:rPr>
                <w:rFonts w:hint="eastAsia" w:ascii="仿宋" w:hAnsi="仿宋" w:eastAsia="仿宋"/>
                <w:color w:val="000000"/>
                <w:sz w:val="24"/>
                <w:szCs w:val="24"/>
              </w:rPr>
              <w:t>邵佩华</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4</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智能制造视域下高职船舶工程技术专业人才培养模式改革与实践</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张波</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5</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 xml:space="preserve">基于“互联网+课程思政”背景下维修电工教学改革探究 </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张海玲</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6</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产教融合背景下的“四链融合”实训室建设研究及实践</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林型平</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7</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 xml:space="preserve">“三教”改革背景下高职院校行业英语教材研究 </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周红芬</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8</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《国际货运代理实务》课程思政教学改革研究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郑胜英</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r>
              <w:rPr>
                <w:rFonts w:ascii="仿宋" w:hAnsi="仿宋" w:eastAsia="仿宋" w:cs="Times New Roman"/>
                <w:color w:val="000000"/>
                <w:kern w:val="0"/>
                <w:sz w:val="24"/>
                <w:szCs w:val="24"/>
              </w:rPr>
              <w:t>9</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新时代航海文化特征与大学生航海文化教育研究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俞舟平</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r>
              <w:rPr>
                <w:rFonts w:ascii="仿宋" w:hAnsi="仿宋" w:eastAsia="仿宋" w:cs="Times New Roman"/>
                <w:color w:val="000000"/>
                <w:kern w:val="0"/>
                <w:sz w:val="24"/>
                <w:szCs w:val="24"/>
              </w:rPr>
              <w:t>0</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海洋强国背景下高等职业教育产教融合育人路径研究——以浙江舟山高职院校为例</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俞凯耀</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r>
              <w:rPr>
                <w:rFonts w:ascii="仿宋" w:hAnsi="仿宋" w:eastAsia="仿宋" w:cs="Times New Roman"/>
                <w:color w:val="000000"/>
                <w:kern w:val="0"/>
                <w:sz w:val="24"/>
                <w:szCs w:val="24"/>
              </w:rPr>
              <w:t>1</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工程教育认证视角下高职程序设计类课程“有效课堂”实践研究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袁雅萍</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r>
              <w:rPr>
                <w:rFonts w:ascii="仿宋" w:hAnsi="仿宋" w:eastAsia="仿宋" w:cs="Times New Roman"/>
                <w:color w:val="000000"/>
                <w:kern w:val="0"/>
                <w:sz w:val="24"/>
                <w:szCs w:val="24"/>
              </w:rPr>
              <w:t>2</w:t>
            </w:r>
          </w:p>
        </w:tc>
        <w:tc>
          <w:tcPr>
            <w:tcW w:w="5696" w:type="dxa"/>
            <w:tcBorders>
              <w:top w:val="nil"/>
              <w:left w:val="nil"/>
              <w:bottom w:val="single" w:color="auto" w:sz="8"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交通类高职院校“大思政课”协同机制构建研究</w:t>
            </w:r>
          </w:p>
        </w:tc>
        <w:tc>
          <w:tcPr>
            <w:tcW w:w="1276" w:type="dxa"/>
            <w:tcBorders>
              <w:top w:val="single" w:color="auto" w:sz="4" w:space="0"/>
              <w:left w:val="nil"/>
              <w:bottom w:val="single" w:color="auto" w:sz="8"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nil"/>
              <w:left w:val="nil"/>
              <w:bottom w:val="single" w:color="auto" w:sz="8"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徐徐</w:t>
            </w:r>
          </w:p>
        </w:tc>
      </w:tr>
      <w:tr>
        <w:tblPrEx>
          <w:tblCellMar>
            <w:top w:w="0" w:type="dxa"/>
            <w:left w:w="108" w:type="dxa"/>
            <w:bottom w:w="0" w:type="dxa"/>
            <w:right w:w="108" w:type="dxa"/>
          </w:tblCellMar>
        </w:tblPrEx>
        <w:trPr>
          <w:trHeight w:val="510" w:hRule="atLeast"/>
          <w:jc w:val="center"/>
        </w:trPr>
        <w:tc>
          <w:tcPr>
            <w:tcW w:w="820" w:type="dxa"/>
            <w:tcBorders>
              <w:top w:val="nil"/>
              <w:left w:val="single" w:color="auto" w:sz="8" w:space="0"/>
              <w:bottom w:val="single" w:color="auto" w:sz="4"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r>
              <w:rPr>
                <w:rFonts w:ascii="仿宋" w:hAnsi="仿宋" w:eastAsia="仿宋" w:cs="Times New Roman"/>
                <w:color w:val="000000"/>
                <w:kern w:val="0"/>
                <w:sz w:val="24"/>
                <w:szCs w:val="24"/>
              </w:rPr>
              <w:t>3</w:t>
            </w:r>
          </w:p>
        </w:tc>
        <w:tc>
          <w:tcPr>
            <w:tcW w:w="5696" w:type="dxa"/>
            <w:tcBorders>
              <w:top w:val="nil"/>
              <w:left w:val="nil"/>
              <w:bottom w:val="single" w:color="auto" w:sz="4" w:space="0"/>
              <w:right w:val="single" w:color="auto" w:sz="8"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基于“产教融合”现代学徒制国际海员培养模式探究</w:t>
            </w:r>
          </w:p>
        </w:tc>
        <w:tc>
          <w:tcPr>
            <w:tcW w:w="1276"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一般课题</w:t>
            </w:r>
          </w:p>
        </w:tc>
        <w:tc>
          <w:tcPr>
            <w:tcW w:w="1417" w:type="dxa"/>
            <w:tcBorders>
              <w:top w:val="nil"/>
              <w:left w:val="nil"/>
              <w:bottom w:val="single" w:color="auto" w:sz="4" w:space="0"/>
              <w:right w:val="single" w:color="auto" w:sz="8"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黄华</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r>
              <w:rPr>
                <w:rFonts w:ascii="仿宋" w:hAnsi="仿宋" w:eastAsia="仿宋" w:cs="Times New Roman"/>
                <w:color w:val="000000"/>
                <w:kern w:val="0"/>
                <w:sz w:val="24"/>
                <w:szCs w:val="24"/>
              </w:rPr>
              <w:t>4</w:t>
            </w:r>
          </w:p>
        </w:tc>
        <w:tc>
          <w:tcPr>
            <w:tcW w:w="5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船员培训一体化数据多场景融合关键技术探究与研发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舒伟权</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ascii="仿宋" w:hAnsi="仿宋" w:eastAsia="仿宋" w:cs="Times New Roman"/>
                <w:color w:val="000000"/>
                <w:kern w:val="0"/>
                <w:sz w:val="24"/>
                <w:szCs w:val="24"/>
              </w:rPr>
              <w:t>35</w:t>
            </w:r>
          </w:p>
        </w:tc>
        <w:tc>
          <w:tcPr>
            <w:tcW w:w="5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交通类高职马克思主义学院党建与思政深度融合研究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熊孜</w:t>
            </w:r>
          </w:p>
        </w:tc>
      </w:tr>
      <w:tr>
        <w:tblPrEx>
          <w:tblCellMar>
            <w:top w:w="0" w:type="dxa"/>
            <w:left w:w="108" w:type="dxa"/>
            <w:bottom w:w="0" w:type="dxa"/>
            <w:right w:w="108" w:type="dxa"/>
          </w:tblCellMar>
        </w:tblPrEx>
        <w:trPr>
          <w:trHeight w:val="510" w:hRule="atLeast"/>
          <w:jc w:val="center"/>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r>
              <w:rPr>
                <w:rFonts w:ascii="仿宋" w:hAnsi="仿宋" w:eastAsia="仿宋" w:cs="Times New Roman"/>
                <w:color w:val="000000"/>
                <w:kern w:val="0"/>
                <w:sz w:val="24"/>
                <w:szCs w:val="24"/>
              </w:rPr>
              <w:t>6</w:t>
            </w:r>
          </w:p>
        </w:tc>
        <w:tc>
          <w:tcPr>
            <w:tcW w:w="5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left"/>
              <w:rPr>
                <w:rFonts w:ascii="仿宋" w:hAnsi="仿宋" w:eastAsia="仿宋" w:cs="宋体"/>
                <w:color w:val="000000"/>
                <w:kern w:val="0"/>
                <w:sz w:val="24"/>
                <w:szCs w:val="24"/>
              </w:rPr>
            </w:pPr>
            <w:r>
              <w:rPr>
                <w:rFonts w:hint="eastAsia" w:ascii="仿宋" w:hAnsi="仿宋" w:eastAsia="仿宋"/>
                <w:color w:val="000000"/>
                <w:sz w:val="24"/>
                <w:szCs w:val="24"/>
              </w:rPr>
              <w:t>虚拟仿真技术在《单片机技术及应用》课程中的应用方法研究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ascii="仿宋" w:hAnsi="仿宋" w:eastAsia="仿宋" w:cs="宋体"/>
                <w:color w:val="000000"/>
                <w:kern w:val="0"/>
                <w:sz w:val="24"/>
                <w:szCs w:val="24"/>
              </w:rPr>
              <w:t>一般课题</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仿宋" w:hAnsi="仿宋" w:eastAsia="仿宋" w:cs="宋体"/>
                <w:color w:val="000000"/>
                <w:kern w:val="0"/>
                <w:sz w:val="24"/>
                <w:szCs w:val="24"/>
              </w:rPr>
            </w:pPr>
            <w:r>
              <w:rPr>
                <w:rFonts w:hint="eastAsia" w:ascii="仿宋" w:hAnsi="仿宋" w:eastAsia="仿宋"/>
                <w:color w:val="000000"/>
                <w:sz w:val="24"/>
                <w:szCs w:val="24"/>
              </w:rPr>
              <w:t>颜金龙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yMTVlMmI3M2RiM2Q3OTEzZWM5MzMwZjZlZmI4YmUifQ=="/>
  </w:docVars>
  <w:rsids>
    <w:rsidRoot w:val="007B2A25"/>
    <w:rsid w:val="000741CA"/>
    <w:rsid w:val="000A6FBB"/>
    <w:rsid w:val="000C04C0"/>
    <w:rsid w:val="001569A6"/>
    <w:rsid w:val="00187BC7"/>
    <w:rsid w:val="001F236D"/>
    <w:rsid w:val="002A7777"/>
    <w:rsid w:val="003241B8"/>
    <w:rsid w:val="00336929"/>
    <w:rsid w:val="00445973"/>
    <w:rsid w:val="00463627"/>
    <w:rsid w:val="00463E7C"/>
    <w:rsid w:val="005165DA"/>
    <w:rsid w:val="005E238A"/>
    <w:rsid w:val="0065275B"/>
    <w:rsid w:val="00675D4B"/>
    <w:rsid w:val="00680473"/>
    <w:rsid w:val="006D3598"/>
    <w:rsid w:val="006D5939"/>
    <w:rsid w:val="007405C1"/>
    <w:rsid w:val="007B2A25"/>
    <w:rsid w:val="00871F35"/>
    <w:rsid w:val="008724B0"/>
    <w:rsid w:val="008C629D"/>
    <w:rsid w:val="009B47B7"/>
    <w:rsid w:val="00B33F42"/>
    <w:rsid w:val="00B34BB9"/>
    <w:rsid w:val="00D36169"/>
    <w:rsid w:val="00D75A9E"/>
    <w:rsid w:val="00DE4504"/>
    <w:rsid w:val="00EB75A4"/>
    <w:rsid w:val="00EF5932"/>
    <w:rsid w:val="00FB0D0A"/>
    <w:rsid w:val="00FC471F"/>
    <w:rsid w:val="0FC24485"/>
    <w:rsid w:val="22DC2D06"/>
    <w:rsid w:val="471018B1"/>
    <w:rsid w:val="765F2F33"/>
    <w:rsid w:val="7A450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字符"/>
    <w:basedOn w:val="7"/>
    <w:link w:val="2"/>
    <w:qFormat/>
    <w:uiPriority w:val="9"/>
    <w:rPr>
      <w:rFonts w:ascii="宋体" w:hAnsi="宋体" w:eastAsia="宋体" w:cs="宋体"/>
      <w:b/>
      <w:bCs/>
      <w:kern w:val="0"/>
      <w:sz w:val="27"/>
      <w:szCs w:val="27"/>
    </w:rPr>
  </w:style>
  <w:style w:type="paragraph" w:customStyle="1" w:styleId="9">
    <w:name w:val="无间隔1"/>
    <w:basedOn w:val="1"/>
    <w:qFormat/>
    <w:uiPriority w:val="0"/>
    <w:rPr>
      <w:rFonts w:ascii="Calibri" w:hAnsi="Calibri" w:eastAsia="宋体" w:cs="Times New Roman"/>
      <w:szCs w:val="21"/>
    </w:rPr>
  </w:style>
  <w:style w:type="character" w:customStyle="1" w:styleId="10">
    <w:name w:val="页眉 字符"/>
    <w:basedOn w:val="7"/>
    <w:link w:val="4"/>
    <w:uiPriority w:val="99"/>
    <w:rPr>
      <w:kern w:val="2"/>
      <w:sz w:val="18"/>
      <w:szCs w:val="18"/>
    </w:rPr>
  </w:style>
  <w:style w:type="character" w:customStyle="1" w:styleId="11">
    <w:name w:val="页脚 字符"/>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1521</Words>
  <Characters>1611</Characters>
  <Lines>13</Lines>
  <Paragraphs>3</Paragraphs>
  <TotalTime>46</TotalTime>
  <ScaleCrop>false</ScaleCrop>
  <LinksUpToDate>false</LinksUpToDate>
  <CharactersWithSpaces>1693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2022-04-27T00:48:00Z</dcterms:created>
  <dc:creator>TPY</dc:creator>
  <cp:lastModifiedBy>WPS_1640758409</cp:lastModifiedBy>
  <dcterms:modified xsi:type="dcterms:W3CDTF">2022-09-30T08:48:25Z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28FB56AEB6CC469DB2496510A50A8364</vt:lpwstr>
  </property>
</Properties>
</file>